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4CED" w14:textId="0639C469" w:rsidR="000D55D5" w:rsidRPr="00B955FD" w:rsidRDefault="00B955FD">
      <w:pPr>
        <w:rPr>
          <w:b/>
          <w:bCs/>
          <w:sz w:val="28"/>
          <w:szCs w:val="28"/>
        </w:rPr>
      </w:pPr>
      <w:r w:rsidRPr="00B955FD">
        <w:rPr>
          <w:b/>
          <w:bCs/>
          <w:sz w:val="28"/>
          <w:szCs w:val="28"/>
        </w:rPr>
        <w:t>Advanced Facial Esthetic Therapies and Adjunctive Considerations Standard</w:t>
      </w:r>
    </w:p>
    <w:p w14:paraId="7B30B468" w14:textId="6F8E490F" w:rsidR="00B955FD" w:rsidRDefault="00B955FD" w:rsidP="00B955FD">
      <w:pPr>
        <w:rPr>
          <w:sz w:val="24"/>
          <w:szCs w:val="24"/>
        </w:rPr>
      </w:pPr>
      <w:r w:rsidRPr="00B955FD">
        <w:rPr>
          <w:sz w:val="24"/>
          <w:szCs w:val="24"/>
        </w:rPr>
        <w:t xml:space="preserve">The legal counsel of the College reviewed the </w:t>
      </w:r>
      <w:r w:rsidRPr="00B955FD">
        <w:rPr>
          <w:sz w:val="24"/>
          <w:szCs w:val="24"/>
        </w:rPr>
        <w:t>Advanced Facial Esthetic Therapies and Adjunctive Considerations Standard</w:t>
      </w:r>
      <w:r>
        <w:rPr>
          <w:sz w:val="24"/>
          <w:szCs w:val="24"/>
        </w:rPr>
        <w:t xml:space="preserve"> and provide</w:t>
      </w:r>
      <w:r w:rsidR="00E376C2">
        <w:rPr>
          <w:sz w:val="24"/>
          <w:szCs w:val="24"/>
        </w:rPr>
        <w:t>d</w:t>
      </w:r>
      <w:r>
        <w:rPr>
          <w:sz w:val="24"/>
          <w:szCs w:val="24"/>
        </w:rPr>
        <w:t xml:space="preserve"> the following suggestions or recommendations</w:t>
      </w:r>
      <w:r w:rsidR="004010F7">
        <w:rPr>
          <w:sz w:val="24"/>
          <w:szCs w:val="24"/>
        </w:rPr>
        <w:t>.</w:t>
      </w:r>
    </w:p>
    <w:p w14:paraId="4B4D1BEF" w14:textId="56C078FB" w:rsidR="004010F7" w:rsidRDefault="004010F7" w:rsidP="00B955FD">
      <w:pPr>
        <w:rPr>
          <w:sz w:val="24"/>
          <w:szCs w:val="24"/>
        </w:rPr>
      </w:pPr>
      <w:r>
        <w:rPr>
          <w:sz w:val="24"/>
          <w:szCs w:val="24"/>
        </w:rPr>
        <w:t>Please see attached.</w:t>
      </w:r>
    </w:p>
    <w:p w14:paraId="380B079F" w14:textId="12DE2577" w:rsidR="004010F7" w:rsidRDefault="004010F7" w:rsidP="00B955FD">
      <w:pPr>
        <w:rPr>
          <w:sz w:val="24"/>
          <w:szCs w:val="24"/>
        </w:rPr>
      </w:pPr>
      <w:r>
        <w:rPr>
          <w:sz w:val="24"/>
          <w:szCs w:val="24"/>
        </w:rPr>
        <w:t>DZ</w:t>
      </w:r>
    </w:p>
    <w:p w14:paraId="5EB6D025" w14:textId="77777777" w:rsidR="00B955FD" w:rsidRPr="00B955FD" w:rsidRDefault="00B955FD" w:rsidP="00B955FD">
      <w:pPr>
        <w:rPr>
          <w:sz w:val="24"/>
          <w:szCs w:val="24"/>
        </w:rPr>
      </w:pPr>
    </w:p>
    <w:p w14:paraId="6F7DF966" w14:textId="1685E3E2" w:rsidR="00B955FD" w:rsidRDefault="00B955FD"/>
    <w:sectPr w:rsidR="00B955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FD"/>
    <w:rsid w:val="000D55D5"/>
    <w:rsid w:val="004010F7"/>
    <w:rsid w:val="00A601B9"/>
    <w:rsid w:val="00AD15EB"/>
    <w:rsid w:val="00B955FD"/>
    <w:rsid w:val="00E3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5BCF"/>
  <w15:chartTrackingRefBased/>
  <w15:docId w15:val="{E2FDF658-D786-4FA8-BDAC-4E735159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Zimmer</dc:creator>
  <cp:keywords/>
  <dc:description/>
  <cp:lastModifiedBy>Dean Zimmer</cp:lastModifiedBy>
  <cp:revision>1</cp:revision>
  <dcterms:created xsi:type="dcterms:W3CDTF">2023-10-09T20:16:00Z</dcterms:created>
  <dcterms:modified xsi:type="dcterms:W3CDTF">2023-10-10T13:04:00Z</dcterms:modified>
</cp:coreProperties>
</file>